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r/>
      <w:r/>
    </w:p>
    <w:tbl>
      <w:tblPr>
        <w:tblStyle w:val="859"/>
        <w:tblpPr w:horzAnchor="margin" w:tblpXSpec="right" w:vertAnchor="text" w:tblpY="806" w:leftFromText="180" w:topFromText="0" w:rightFromText="180" w:bottomFromText="0"/>
        <w:tblW w:w="96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552"/>
        <w:gridCol w:w="3685"/>
        <w:gridCol w:w="3398"/>
      </w:tblGrid>
      <w:tr>
        <w:tblPrEx/>
        <w:trPr/>
        <w:tc>
          <w:tcPr>
            <w:tcW w:w="2552" w:type="dxa"/>
            <w:textDirection w:val="lrTb"/>
            <w:noWrap w:val="false"/>
          </w:tcPr>
          <w:p>
            <w:pPr>
              <w:spacing w:line="360" w:lineRule="auto"/>
              <w:rPr>
                <w:rFonts w:ascii="PF Din Text Cond Pro Light" w:hAnsi="PF Din Text Cond Pro Light" w:cs="Times New Roman"/>
              </w:rPr>
            </w:pPr>
            <w:r>
              <w:rPr>
                <w:rFonts w:ascii="PF Din Text Cond Pro Light" w:hAnsi="PF Din Text Cond Pro Light" w:cs="Times New Roman"/>
              </w:rPr>
            </w:r>
            <w:r>
              <w:rPr>
                <w:rFonts w:ascii="PF Din Text Cond Pro Light" w:hAnsi="PF Din Text Cond Pro Light" w:cs="Times New Roman"/>
              </w:rPr>
            </w:r>
            <w:r>
              <w:rPr>
                <w:rFonts w:ascii="PF Din Text Cond Pro Light" w:hAnsi="PF Din Text Cond Pro Light" w:cs="Times New Roman"/>
              </w:rPr>
            </w:r>
          </w:p>
        </w:tc>
        <w:tc>
          <w:tcPr>
            <w:gridSpan w:val="2"/>
            <w:tcW w:w="7083" w:type="dxa"/>
            <w:textDirection w:val="lrTb"/>
            <w:noWrap w:val="false"/>
          </w:tcPr>
          <w:p>
            <w:pPr>
              <w:spacing w:line="360" w:lineRule="auto"/>
              <w:rPr>
                <w:rFonts w:ascii="PF Din Text Cond Pro Light" w:hAnsi="PF Din Text Cond Pro Light" w:cs="Times New Roman"/>
              </w:rPr>
            </w:pPr>
            <w:r>
              <w:rPr>
                <w:rFonts w:ascii="PF Din Text Cond Pro Light" w:hAnsi="PF Din Text Cond Pro Light" w:cs="Times New Roman"/>
              </w:rPr>
            </w:r>
            <w:r>
              <w:rPr>
                <w:rFonts w:ascii="PF Din Text Cond Pro Light" w:hAnsi="PF Din Text Cond Pro Light" w:cs="Times New Roman"/>
              </w:rPr>
            </w:r>
            <w:r>
              <w:rPr>
                <w:rFonts w:ascii="PF Din Text Cond Pro Light" w:hAnsi="PF Din Text Cond Pro Light" w:cs="Times New Roman"/>
              </w:rPr>
            </w:r>
          </w:p>
        </w:tc>
      </w:tr>
      <w:tr>
        <w:tblPrEx/>
        <w:trPr/>
        <w:tc>
          <w:tcPr>
            <w:tcW w:w="2552" w:type="dxa"/>
            <w:textDirection w:val="lrTb"/>
            <w:noWrap w:val="false"/>
          </w:tcPr>
          <w:p>
            <w:pPr>
              <w:spacing w:line="360" w:lineRule="auto"/>
              <w:rPr>
                <w:rFonts w:ascii="PF Din Text Cond Pro Light" w:hAnsi="PF Din Text Cond Pro Light" w:cs="Times New Roman"/>
              </w:rPr>
            </w:pPr>
            <w:r>
              <w:rPr>
                <w:rFonts w:ascii="PF Din Text Cond Pro Light" w:hAnsi="PF Din Text Cond Pro Light" w:cs="Times New Roman"/>
              </w:rPr>
            </w:r>
            <w:r>
              <w:rPr>
                <w:rFonts w:ascii="PF Din Text Cond Pro Light" w:hAnsi="PF Din Text Cond Pro Light" w:cs="Times New Roman"/>
              </w:rPr>
            </w:r>
            <w:r>
              <w:rPr>
                <w:rFonts w:ascii="PF Din Text Cond Pro Light" w:hAnsi="PF Din Text Cond Pro Light" w:cs="Times New Roman"/>
              </w:rPr>
            </w:r>
          </w:p>
        </w:tc>
        <w:tc>
          <w:tcPr>
            <w:gridSpan w:val="2"/>
            <w:tcW w:w="7083" w:type="dxa"/>
            <w:textDirection w:val="lrTb"/>
            <w:noWrap w:val="false"/>
          </w:tcPr>
          <w:p>
            <w:pPr>
              <w:spacing w:line="360" w:lineRule="auto"/>
              <w:rPr>
                <w:rFonts w:ascii="PF Din Text Cond Pro Light" w:hAnsi="PF Din Text Cond Pro Light" w:cs="Times New Roman"/>
              </w:rPr>
            </w:pPr>
            <w:r>
              <w:rPr>
                <w:rFonts w:ascii="PF Din Text Cond Pro Light" w:hAnsi="PF Din Text Cond Pro Light" w:cs="Times New Roman"/>
              </w:rPr>
            </w:r>
            <w:r>
              <w:rPr>
                <w:rFonts w:ascii="PF Din Text Cond Pro Light" w:hAnsi="PF Din Text Cond Pro Light" w:cs="Times New Roman"/>
              </w:rPr>
            </w:r>
            <w:r>
              <w:rPr>
                <w:rFonts w:ascii="PF Din Text Cond Pro Light" w:hAnsi="PF Din Text Cond Pro Light" w:cs="Times New Roman"/>
              </w:rPr>
            </w:r>
          </w:p>
        </w:tc>
      </w:tr>
      <w:tr>
        <w:tblPrEx/>
        <w:trPr/>
        <w:tc>
          <w:tcPr>
            <w:tcW w:w="2552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7083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5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предоставлении результатов контрольных замеров 19.06.2024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398" w:type="dxa"/>
            <w:textDirection w:val="lrTb"/>
            <w:noWrap w:val="false"/>
          </w:tcPr>
          <w:p>
            <w:pPr>
              <w:tabs>
                <w:tab w:val="left" w:pos="7513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Заместителю главного инженера по ОТ и СУ-начальнику департамента ОТ и СУ ПАО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Северо-Запад»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А.В. Иванову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r/>
      <w:r/>
    </w:p>
    <w:p>
      <w:r/>
      <w:r/>
    </w:p>
    <w:p>
      <w:r/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Андрей Владимирович!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right="143"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Направляю Вам на электронный адрес ведущих специалистов САОИ ОСЦ ДОТ и СУ Строгановой С.П.: </w:t>
      </w:r>
      <w:hyperlink r:id="rId9" w:tooltip="mailto:makukha@rosseti-sz.ru" w:history="1">
        <w:r>
          <w:rPr>
            <w:rStyle w:val="83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makukha@</w:t>
        </w:r>
        <w:r>
          <w:rPr>
            <w:rStyle w:val="83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rosseti</w:t>
        </w:r>
        <w:r>
          <w:rPr>
            <w:rStyle w:val="83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-</w:t>
        </w:r>
        <w:r>
          <w:rPr>
            <w:rStyle w:val="83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sz</w:t>
        </w:r>
        <w:r>
          <w:rPr>
            <w:rStyle w:val="83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.</w:t>
        </w:r>
        <w:r>
          <w:rPr>
            <w:rStyle w:val="83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Шиловой И.Н.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shilovain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@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rosseti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sz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ru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следующую информацию: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right="143"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Обработанные результаты контрольных замеров, проведенных 19.06.2024</w:t>
      </w:r>
      <w:r>
        <w:rPr>
          <w:rFonts w:ascii="Times New Roman" w:hAnsi="Times New Roman" w:cs="Times New Roman"/>
          <w:sz w:val="28"/>
          <w:szCs w:val="28"/>
        </w:rPr>
        <w:t xml:space="preserve">г.  в электрических сетях Новгородского филиала ПАО «</w:t>
      </w:r>
      <w:r>
        <w:rPr>
          <w:rFonts w:ascii="Times New Roman" w:hAnsi="Times New Roman" w:cs="Times New Roman"/>
          <w:sz w:val="28"/>
          <w:szCs w:val="28"/>
        </w:rPr>
        <w:t xml:space="preserve">Россети</w:t>
      </w:r>
      <w:r>
        <w:rPr>
          <w:rFonts w:ascii="Times New Roman" w:hAnsi="Times New Roman" w:cs="Times New Roman"/>
          <w:sz w:val="28"/>
          <w:szCs w:val="28"/>
        </w:rPr>
        <w:t xml:space="preserve"> Северо-Запад», предоставлены в объеме, соответствующему выданному заданию филиала АО «СО ЕЭС» НРДУ: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right="201" w:firstLine="720"/>
        <w:jc w:val="both"/>
        <w:spacing w:after="0" w:line="240" w:lineRule="auto"/>
        <w:tabs>
          <w:tab w:val="left" w:pos="108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1. Активная и реактивная мощность (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Q</w:t>
      </w:r>
      <w:r>
        <w:rPr>
          <w:rFonts w:ascii="Times New Roman" w:hAnsi="Times New Roman" w:cs="Times New Roman"/>
          <w:sz w:val="28"/>
          <w:szCs w:val="28"/>
        </w:rPr>
        <w:t xml:space="preserve">) ЛЭП 110кВ, силовых трансформаторов по каждой подстанции 110 </w:t>
      </w:r>
      <w:r>
        <w:rPr>
          <w:rFonts w:ascii="Times New Roman" w:hAnsi="Times New Roman" w:cs="Times New Roman"/>
          <w:sz w:val="28"/>
          <w:szCs w:val="28"/>
        </w:rPr>
        <w:t xml:space="preserve">кВ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направления мощности «+» - к шинам, «-» - от шин, уровень напряжения на СШ 110кВ.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right="143" w:firstLine="720"/>
        <w:jc w:val="both"/>
        <w:spacing w:after="0" w:line="240" w:lineRule="auto"/>
        <w:tabs>
          <w:tab w:val="left" w:pos="108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2. Данные о работе устройств компенсации реактивной мощности БСК и УКРМ.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right="143" w:firstLine="720"/>
        <w:jc w:val="both"/>
        <w:spacing w:after="0" w:line="240" w:lineRule="auto"/>
        <w:tabs>
          <w:tab w:val="left" w:pos="108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3. Ведомость максимальных нагрузок трансформаторов напряжением 110/35/6-10 </w:t>
      </w:r>
      <w:r>
        <w:rPr>
          <w:rFonts w:ascii="Times New Roman" w:hAnsi="Times New Roman" w:cs="Times New Roman"/>
          <w:sz w:val="28"/>
          <w:szCs w:val="28"/>
        </w:rPr>
        <w:t xml:space="preserve">кВ</w:t>
      </w:r>
      <w:r>
        <w:rPr>
          <w:rFonts w:ascii="Times New Roman" w:hAnsi="Times New Roman" w:cs="Times New Roman"/>
          <w:sz w:val="28"/>
          <w:szCs w:val="28"/>
        </w:rPr>
        <w:t xml:space="preserve"> (на </w:t>
      </w:r>
      <w:r>
        <w:rPr>
          <w:rFonts w:ascii="Times New Roman" w:hAnsi="Times New Roman" w:cs="Times New Roman"/>
          <w:sz w:val="28"/>
          <w:szCs w:val="28"/>
        </w:rPr>
        <w:t xml:space="preserve">21-00 ч.)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right="143" w:firstLine="720"/>
        <w:jc w:val="both"/>
        <w:spacing w:after="0" w:line="240" w:lineRule="auto"/>
        <w:tabs>
          <w:tab w:val="left" w:pos="108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4. Сводные таблицы АЧР (в том числе САЧР) и ЧАПВ с указанием объемов мощности на каждой </w:t>
      </w:r>
      <w:r>
        <w:rPr>
          <w:rFonts w:ascii="Times New Roman" w:hAnsi="Times New Roman" w:cs="Times New Roman"/>
          <w:sz w:val="28"/>
          <w:szCs w:val="28"/>
        </w:rPr>
        <w:t xml:space="preserve">уставке</w:t>
      </w:r>
      <w:r>
        <w:rPr>
          <w:rFonts w:ascii="Times New Roman" w:hAnsi="Times New Roman" w:cs="Times New Roman"/>
          <w:sz w:val="28"/>
          <w:szCs w:val="28"/>
        </w:rPr>
        <w:t xml:space="preserve"> по частоте и времени, а также совмещения АЧР-1 и АЧР-2.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5. Сведения о нагрузке потребителей электрической энергии (мощности), включенных в графики аварийного ограничения режима потребления электрич</w:t>
      </w:r>
      <w:r>
        <w:rPr>
          <w:rFonts w:ascii="Times New Roman" w:hAnsi="Times New Roman" w:cs="Times New Roman"/>
          <w:sz w:val="28"/>
          <w:szCs w:val="28"/>
        </w:rPr>
        <w:t xml:space="preserve">еской энергии (мощности) на 2023</w:t>
      </w:r>
      <w:r>
        <w:rPr>
          <w:rFonts w:ascii="Times New Roman" w:hAnsi="Times New Roman" w:cs="Times New Roman"/>
          <w:sz w:val="28"/>
          <w:szCs w:val="28"/>
        </w:rPr>
        <w:t xml:space="preserve">/202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гг.  на территории Новгородской области по Новгородскому филиалу ПАО «</w:t>
      </w:r>
      <w:r>
        <w:rPr>
          <w:rFonts w:ascii="Times New Roman" w:hAnsi="Times New Roman" w:cs="Times New Roman"/>
          <w:sz w:val="28"/>
          <w:szCs w:val="28"/>
        </w:rPr>
        <w:t xml:space="preserve">Россети</w:t>
      </w:r>
      <w:r>
        <w:rPr>
          <w:rFonts w:ascii="Times New Roman" w:hAnsi="Times New Roman" w:cs="Times New Roman"/>
          <w:sz w:val="28"/>
          <w:szCs w:val="28"/>
        </w:rPr>
        <w:t xml:space="preserve"> Северо-Запад» по данным контрольного замера со временем отключения «до 5 мин», «от 5 до 20 мин», «от 20 до 60 мин» с указанием нагрузки по каждому присоединению за каждый час суток контрольного замера (0:00:00 – 23:00:00).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6. Сведения о нагрузке потребителей электрической энергии (мощности), включенных в график временного отключения потребления на 202</w:t>
      </w:r>
      <w:r>
        <w:rPr>
          <w:rFonts w:ascii="Times New Roman" w:hAnsi="Times New Roman" w:cs="Times New Roman"/>
          <w:sz w:val="28"/>
          <w:szCs w:val="28"/>
        </w:rPr>
        <w:t xml:space="preserve">3/2024</w:t>
      </w:r>
      <w:r>
        <w:rPr>
          <w:rFonts w:ascii="Times New Roman" w:hAnsi="Times New Roman" w:cs="Times New Roman"/>
          <w:sz w:val="28"/>
          <w:szCs w:val="28"/>
        </w:rPr>
        <w:t xml:space="preserve"> гг.  Новгородского </w:t>
      </w:r>
      <w:r>
        <w:rPr>
          <w:rFonts w:ascii="Times New Roman" w:hAnsi="Times New Roman" w:cs="Times New Roman"/>
          <w:sz w:val="28"/>
          <w:szCs w:val="28"/>
        </w:rPr>
        <w:t xml:space="preserve">энергоузла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Новгородской области по Новгородскому филиалу ПАО «</w:t>
      </w:r>
      <w:r>
        <w:rPr>
          <w:rFonts w:ascii="Times New Roman" w:hAnsi="Times New Roman" w:cs="Times New Roman"/>
          <w:sz w:val="28"/>
          <w:szCs w:val="28"/>
        </w:rPr>
        <w:t xml:space="preserve">Россети</w:t>
      </w:r>
      <w:r>
        <w:rPr>
          <w:rFonts w:ascii="Times New Roman" w:hAnsi="Times New Roman" w:cs="Times New Roman"/>
          <w:sz w:val="28"/>
          <w:szCs w:val="28"/>
        </w:rPr>
        <w:t xml:space="preserve"> Северо-Запад» по данным контрольного замера со временем отключения «до 5 мин», «от 5 </w:t>
      </w:r>
      <w:r>
        <w:rPr>
          <w:rFonts w:ascii="Times New Roman" w:hAnsi="Times New Roman" w:cs="Times New Roman"/>
          <w:sz w:val="28"/>
          <w:szCs w:val="28"/>
        </w:rPr>
        <w:t xml:space="preserve">до 20 мин», «от 20 до 60 мин» с указанием нагрузки по каждому присоединению за каждый час суток контрольного замера (0:00:00 – 23:00:00).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7. Сводная таблица объемов нагрузки потребителей, включенных в графики временного отключения потребления за каждый час суток.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right="143" w:firstLine="709"/>
        <w:jc w:val="both"/>
        <w:spacing w:after="0" w:line="240" w:lineRule="auto"/>
        <w:tabs>
          <w:tab w:val="left" w:pos="108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8. Реестр потребителей, подключенных к устройствам ПА (САОН, АОСН) с указанием объема нагрузки ОН (кроме устройств АЧР) с указанием их</w:t>
      </w:r>
      <w:r>
        <w:rPr>
          <w:rFonts w:ascii="Times New Roman" w:hAnsi="Times New Roman" w:cs="Times New Roman"/>
          <w:sz w:val="28"/>
          <w:szCs w:val="28"/>
        </w:rPr>
        <w:t xml:space="preserve"> потребления за 04-00, 10-00 и 21</w:t>
      </w:r>
      <w:r>
        <w:rPr>
          <w:rFonts w:ascii="Times New Roman" w:hAnsi="Times New Roman" w:cs="Times New Roman"/>
          <w:sz w:val="28"/>
          <w:szCs w:val="28"/>
        </w:rPr>
        <w:t xml:space="preserve">-00 </w:t>
      </w:r>
      <w:r>
        <w:rPr>
          <w:rFonts w:ascii="Times New Roman" w:hAnsi="Times New Roman" w:cs="Times New Roman"/>
          <w:sz w:val="28"/>
          <w:szCs w:val="28"/>
        </w:rPr>
        <w:t xml:space="preserve">ч. дня контрольного замера 20.12</w:t>
      </w:r>
      <w:r>
        <w:rPr>
          <w:rFonts w:ascii="Times New Roman" w:hAnsi="Times New Roman" w:cs="Times New Roman"/>
          <w:sz w:val="28"/>
          <w:szCs w:val="28"/>
        </w:rPr>
        <w:t xml:space="preserve">.2023г.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right="143" w:firstLine="709"/>
        <w:jc w:val="both"/>
        <w:spacing w:after="0" w:line="240" w:lineRule="auto"/>
        <w:tabs>
          <w:tab w:val="left" w:pos="1080" w:leader="none"/>
        </w:tabs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9. Сводная таблица по объемам нагрузки потребителей, подключенных к АОСН.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right="143"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 xml:space="preserve">Пояснитель</w:t>
      </w:r>
      <w:r>
        <w:rPr>
          <w:rFonts w:ascii="Times New Roman" w:hAnsi="Times New Roman" w:cs="Times New Roman"/>
          <w:sz w:val="28"/>
          <w:szCs w:val="28"/>
        </w:rPr>
        <w:t xml:space="preserve">ную записку, согласно требований п.8.6 Стандарта организации «Порядок организации и проведения контрольных, внеочередных и дополнительных замеров параметров электрических режимов работы объектов электросетевого комплекса», утвержденного Распоряжением ОАО «</w:t>
      </w:r>
      <w:r>
        <w:rPr>
          <w:rFonts w:ascii="Times New Roman" w:hAnsi="Times New Roman" w:cs="Times New Roman"/>
          <w:sz w:val="28"/>
          <w:szCs w:val="28"/>
        </w:rPr>
        <w:t xml:space="preserve">Россети</w:t>
      </w:r>
      <w:r>
        <w:rPr>
          <w:rFonts w:ascii="Times New Roman" w:hAnsi="Times New Roman" w:cs="Times New Roman"/>
          <w:sz w:val="28"/>
          <w:szCs w:val="28"/>
        </w:rPr>
        <w:t xml:space="preserve">» № 335р.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right="143" w:firstLine="709"/>
        <w:jc w:val="both"/>
        <w:spacing w:after="0" w:line="240" w:lineRule="auto"/>
        <w:tabs>
          <w:tab w:val="left" w:pos="1080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cs="Times New Roman"/>
          <w:color w:val="000000"/>
          <w:spacing w:val="7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</w:r>
      <w:r>
        <w:rPr>
          <w:rFonts w:ascii="Times New Roman" w:hAnsi="Times New Roman" w:cs="Times New Roman"/>
          <w:color w:val="000000"/>
          <w:spacing w:val="7"/>
          <w:sz w:val="26"/>
          <w:szCs w:val="26"/>
        </w:rPr>
      </w:r>
    </w:p>
    <w:p>
      <w:pPr>
        <w:spacing w:after="0"/>
        <w:rPr>
          <w:rFonts w:ascii="Times New Roman" w:hAnsi="Times New Roman" w:cs="Times New Roman"/>
          <w:color w:val="000000"/>
          <w:spacing w:val="7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</w:r>
      <w:r>
        <w:rPr>
          <w:rFonts w:ascii="Times New Roman" w:hAnsi="Times New Roman" w:cs="Times New Roman"/>
          <w:color w:val="000000"/>
          <w:spacing w:val="7"/>
          <w:sz w:val="26"/>
          <w:szCs w:val="26"/>
        </w:rPr>
      </w:r>
    </w:p>
    <w:p>
      <w:pPr>
        <w:spacing w:after="0"/>
        <w:rPr>
          <w:rFonts w:ascii="Times New Roman" w:hAnsi="Times New Roman" w:cs="Times New Roman"/>
          <w:color w:val="000000"/>
          <w:spacing w:val="7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</w:r>
      <w:r>
        <w:rPr>
          <w:rFonts w:ascii="Times New Roman" w:hAnsi="Times New Roman" w:cs="Times New Roman"/>
          <w:color w:val="000000"/>
          <w:spacing w:val="7"/>
          <w:sz w:val="26"/>
          <w:szCs w:val="26"/>
        </w:rPr>
      </w:r>
    </w:p>
    <w:p>
      <w:pPr>
        <w:spacing w:after="0"/>
        <w:rPr>
          <w:rFonts w:ascii="Times New Roman" w:hAnsi="Times New Roman" w:cs="Times New Roman"/>
          <w:color w:val="000000"/>
          <w:spacing w:val="7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</w:r>
      <w:r>
        <w:rPr>
          <w:rFonts w:ascii="Times New Roman" w:hAnsi="Times New Roman" w:cs="Times New Roman"/>
          <w:color w:val="000000"/>
          <w:spacing w:val="7"/>
          <w:sz w:val="26"/>
          <w:szCs w:val="26"/>
        </w:rPr>
      </w:r>
    </w:p>
    <w:p>
      <w:pPr>
        <w:spacing w:after="0"/>
        <w:rPr>
          <w:rFonts w:ascii="Times New Roman" w:hAnsi="Times New Roman" w:cs="Times New Roman"/>
          <w:color w:val="000000"/>
          <w:spacing w:val="7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</w:r>
      <w:r>
        <w:rPr>
          <w:rFonts w:ascii="Times New Roman" w:hAnsi="Times New Roman" w:cs="Times New Roman"/>
          <w:color w:val="000000"/>
          <w:spacing w:val="7"/>
          <w:sz w:val="26"/>
          <w:szCs w:val="26"/>
        </w:rPr>
      </w:r>
    </w:p>
    <w:p>
      <w:pPr>
        <w:spacing w:after="0"/>
        <w:rPr>
          <w:rFonts w:ascii="Times New Roman" w:hAnsi="Times New Roman" w:cs="Times New Roman"/>
          <w:color w:val="000000"/>
          <w:spacing w:val="7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С уважением,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</w:r>
      <w:r>
        <w:rPr>
          <w:rFonts w:ascii="Times New Roman" w:hAnsi="Times New Roman" w:cs="Times New Roman"/>
          <w:color w:val="000000"/>
          <w:spacing w:val="7"/>
          <w:sz w:val="26"/>
          <w:szCs w:val="26"/>
        </w:rPr>
      </w:r>
    </w:p>
    <w:p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 xml:space="preserve">филиала                                                                                           А.Л. Кашин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</w:p>
    <w:p>
      <w:pPr>
        <w:pStyle w:val="695"/>
        <w:ind w:left="0" w:righ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695"/>
        <w:jc w:val="both"/>
        <w:rPr>
          <w:sz w:val="26"/>
          <w:szCs w:val="26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6"/>
          <w:szCs w:val="26"/>
        </w:rPr>
      </w:r>
    </w:p>
    <w:p>
      <w:pPr>
        <w:pStyle w:val="6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Ведущий инженер службы электрических режимов ЦУС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</w:rPr>
      </w:r>
    </w:p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Полина Елена Александровна 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</w:rPr>
      </w:r>
    </w:p>
    <w:p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0"/>
          <w:szCs w:val="20"/>
        </w:rPr>
        <w:t xml:space="preserve">тел. 984-366; 89211927089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headerReference w:type="first" r:id="rId8"/>
      <w:footnotePr/>
      <w:endnotePr/>
      <w:type w:val="nextPage"/>
      <w:pgSz w:w="11906" w:h="16838" w:orient="portrait"/>
      <w:pgMar w:top="1134" w:right="567" w:bottom="1134" w:left="1134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F Din Text Cond Pro Light">
    <w:panose1 w:val="02000603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5"/>
      <w:tabs>
        <w:tab w:val="left" w:pos="3200" w:leader="none"/>
        <w:tab w:val="clear" w:pos="4677" w:leader="none"/>
        <w:tab w:val="clear" w:pos="9355" w:leader="none"/>
      </w:tabs>
    </w:pPr>
    <w:r>
      <w:rPr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-449581</wp:posOffset>
              </wp:positionV>
              <wp:extent cx="7551223" cy="10677525"/>
              <wp:effectExtent l="0" t="0" r="0" b="0"/>
              <wp:wrapNone/>
              <wp:docPr id="1" name="Рисунок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НФ_АУ_Бланк письма.pn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551223" cy="106775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-251658240;o:allowoverlap:true;o:allowincell:true;mso-position-horizontal-relative:page;mso-position-horizontal:right;mso-position-vertical-relative:text;margin-top:-35.40pt;mso-position-vertical:absolute;width:594.58pt;height:840.75pt;mso-wrap-distance-left:9.00pt;mso-wrap-distance-top:0.00pt;mso-wrap-distance-right:9.00pt;mso-wrap-distance-bottom:0.00pt;" stroked="false">
              <v:path textboxrect="0,0,0,0"/>
              <v:imagedata r:id="rId1" o:title=""/>
            </v:shape>
          </w:pict>
        </mc:Fallback>
      </mc:AlternateContent>
    </w:r>
    <w:r>
      <w:tab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1"/>
    <w:next w:val="851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basedOn w:val="852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1"/>
    <w:next w:val="851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basedOn w:val="852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1"/>
    <w:next w:val="851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basedOn w:val="852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1"/>
    <w:next w:val="851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basedOn w:val="852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1"/>
    <w:next w:val="851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2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1"/>
    <w:next w:val="851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2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1"/>
    <w:next w:val="851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2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1"/>
    <w:next w:val="85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2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1"/>
    <w:next w:val="851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2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1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1"/>
    <w:next w:val="851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1"/>
    <w:next w:val="851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1"/>
    <w:next w:val="851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1"/>
    <w:next w:val="851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55"/>
    <w:uiPriority w:val="99"/>
  </w:style>
  <w:style w:type="character" w:styleId="705">
    <w:name w:val="Footer Char"/>
    <w:basedOn w:val="852"/>
    <w:link w:val="857"/>
    <w:uiPriority w:val="99"/>
  </w:style>
  <w:style w:type="paragraph" w:styleId="706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57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000ff" w:themeColor="hyperlink"/>
      <w:u w:val="single"/>
    </w:r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basedOn w:val="852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52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qFormat/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Header"/>
    <w:basedOn w:val="851"/>
    <w:link w:val="85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6" w:customStyle="1">
    <w:name w:val="Верхний колонтитул Знак"/>
    <w:basedOn w:val="852"/>
    <w:link w:val="855"/>
    <w:uiPriority w:val="99"/>
  </w:style>
  <w:style w:type="paragraph" w:styleId="857">
    <w:name w:val="Footer"/>
    <w:basedOn w:val="851"/>
    <w:link w:val="85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8" w:customStyle="1">
    <w:name w:val="Нижний колонтитул Знак"/>
    <w:basedOn w:val="852"/>
    <w:link w:val="857"/>
    <w:uiPriority w:val="99"/>
  </w:style>
  <w:style w:type="table" w:styleId="859">
    <w:name w:val="Table Grid"/>
    <w:basedOn w:val="85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yperlink" Target="mailto:makukha@rosseti-sz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6</cp:revision>
  <dcterms:created xsi:type="dcterms:W3CDTF">2024-03-18T05:26:00Z</dcterms:created>
  <dcterms:modified xsi:type="dcterms:W3CDTF">2024-08-15T06:21:55Z</dcterms:modified>
</cp:coreProperties>
</file>